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6"/>
          <w:szCs w:val="36"/>
          <w:rtl w:val="0"/>
        </w:rPr>
        <w:t xml:space="preserve">患病和治療過程</w:t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(Sequence of Events)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0"/>
          <w:szCs w:val="30"/>
          <w:rtl w:val="0"/>
        </w:rPr>
        <w:t xml:space="preserve">第一週（Week 1）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0.90909090909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1592.7272727272727"/>
        <w:gridCol w:w="3425.4545454545455"/>
        <w:gridCol w:w="2912.727272727273"/>
        <w:tblGridChange w:id="0">
          <w:tblGrid>
            <w:gridCol w:w="1080"/>
            <w:gridCol w:w="1592.7272727272727"/>
            <w:gridCol w:w="3425.4545454545455"/>
            <w:gridCol w:w="2912.727272727273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第X天/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日期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Day/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徵狀/自己採取的行動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Symptom/self-action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被諮詢醫生（公家或私家）/檢查/診斷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Doctor consulted（public or private)/ investigation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/diagnosis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治療方法/跟進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Treatment given/follow up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第一天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 1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Xx/xx/xx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Day 2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Day 3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Day 4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Day 5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Day 6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Day 7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0"/>
          <w:szCs w:val="30"/>
          <w:rtl w:val="0"/>
        </w:rPr>
        <w:t xml:space="preserve">第二週（Week 2）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⋯⋯⋯⋯⋯⋯⋯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